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89C" w:rsidRPr="00B2289C" w:rsidRDefault="00B2289C" w:rsidP="00B2289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8A243A5" wp14:editId="6409FF16">
                <wp:extent cx="304800" cy="304800"/>
                <wp:effectExtent l="0" t="0" r="0" b="0"/>
                <wp:docPr id="7" name="Прямоугольник 7" descr="ремонт хранилища флукулянта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7" o:spid="_x0000_s1026" alt="ремонт хранилища флукулянта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W1vCQMAAAUGAAAOAAAAZHJzL2Uyb0RvYy54bWysVF1u1DAQfkfiDpbf0yTb7E+iplXZ7SKk&#10;ApUKB/AmzsYisYPtNi0IqaLwgITEEbhCJYRUtbRnSG7E2Nltt+0LAiwlGnvG3/x9no2to7JAh1Qq&#10;JniM/TUPI8oTkTI+j/HrV1NnhJHShKekEJzG+JgqvLX5+NFGXUW0J3JRpFQiAOEqqqsY51pXkeuq&#10;JKclUWuiohyUmZAl0bCVczeVpAb0snB7njdwayHTSoqEKgWnk06JNy1+ltFEv8wyRTUqYgyxafuX&#10;9j8zf3dzg0RzSaqcJYswyF9EURLGwekN1IRogg4kewBVskQKJTK9lojSFVnGEmpzgGx87142+zmp&#10;qM0FiqOqmzKp/webvDjck4ilMR5ixEkJLWq+tyftt+ZXc92eNj+a6+ay/dpcNefNBQKblKoE6tee&#10;ND+NSXPVfkTtZ9ieWZvL5rz90pyh9hNcO20u4LsEMLBqzkyx60pF4HO/2pOmXKraFckbhbgY54TP&#10;6baqoGVAJAhmeSSlqHNKUsjaNxDuHQyzUYCGZvVzkUL45EAL24qjTJbGBxQZHdmOH990nB5plMDh&#10;uheMPOBFAqqFbDyQaHm5kko/paJERoixhOgsODncVbozXZoYX1xMWVHAOYkKfucAMLsTcA1Xjc4E&#10;YTnyPvTCndHOKHCC3mDHCbzJxNmejgNnMPWH/cn6ZDye+B+MXz+IcpamlBs3S776wZ/xYfFyOqbd&#10;MFaJgqUGzoSk5Hw2LiQ6JPBepnbZkoPm1sy9G4atF+RyLyW/F3hPeqEzHYyGTjAN+k449EaO54dP&#10;woEXhMFkejelXcbpv6eE6hiH/V7fdmkl6Hu5eXY9zI1EJdMwkQpWxhioAcsYkcgwcIenVtaEFZ28&#10;UgoT/m0poN3LRlu+Gop27J+J9BjoKgXQCZgHsxOEXMh3GNUwh2Ks3h4QSTEqnnGgfOgHgRlcdhP0&#10;hz3YyFXNbFVDeAJQMdYYdeJYd8PuoJJsnoMn3xaGi214JhmzFDZPqItq8bhg1thMFnPRDLPVvbW6&#10;nd6bvwEAAP//AwBQSwMEFAAGAAgAAAAhAEyg6SzYAAAAAwEAAA8AAABkcnMvZG93bnJldi54bWxM&#10;j0FLw0AQhe+C/2EZwYvYjSJSYjZFCmIRoZhqz9PsmASzs2l2m8R/36ke9DLD4w1vvpctJteqgfrQ&#10;eDZwM0tAEZfeNlwZeN88Xc9BhYhssfVMBr4pwCI/P8swtX7kNxqKWCkJ4ZCigTrGLtU6lDU5DDPf&#10;EYv36XuHUWRfadvjKOGu1bdJcq8dNiwfauxoWVP5VRycgbFcD9vN67NeX21Xnver/bL4eDHm8mJ6&#10;fAAVaYp/x3DCF3TIhWnnD2yDag1Ikfgzxbubi9r9bp1n+j97fgQAAP//AwBQSwECLQAUAAYACAAA&#10;ACEAtoM4kv4AAADhAQAAEwAAAAAAAAAAAAAAAAAAAAAAW0NvbnRlbnRfVHlwZXNdLnhtbFBLAQIt&#10;ABQABgAIAAAAIQA4/SH/1gAAAJQBAAALAAAAAAAAAAAAAAAAAC8BAABfcmVscy8ucmVsc1BLAQIt&#10;ABQABgAIAAAAIQApPW1vCQMAAAUGAAAOAAAAAAAAAAAAAAAAAC4CAABkcnMvZTJvRG9jLnhtbFBL&#10;AQItABQABgAIAAAAIQBMoOks2AAAAAMBAAAPAAAAAAAAAAAAAAAAAGMFAABkcnMvZG93bnJldi54&#10;bWxQSwUGAAAAAAQABADzAAAAaAYAAAAA&#10;" filled="f" stroked="f">
                <o:lock v:ext="edit" aspectratio="t"/>
                <w10:anchorlock/>
              </v:rect>
            </w:pict>
          </mc:Fallback>
        </mc:AlternateContent>
      </w:r>
    </w:p>
    <w:p w:rsidR="00B2289C" w:rsidRPr="00B2289C" w:rsidRDefault="00B2289C" w:rsidP="00B2289C">
      <w:pPr>
        <w:spacing w:line="360" w:lineRule="atLeast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Очистка воды коагулянтами и </w:t>
      </w:r>
      <w:proofErr w:type="spellStart"/>
      <w:r w:rsidRPr="00B2289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флокулянтами</w:t>
      </w:r>
      <w:proofErr w:type="spellEnd"/>
    </w:p>
    <w:p w:rsidR="00B2289C" w:rsidRPr="00B2289C" w:rsidRDefault="00B2289C" w:rsidP="00B2289C">
      <w:pPr>
        <w:spacing w:after="0" w:line="288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Флокулянты</w:t>
      </w:r>
      <w:proofErr w:type="spellEnd"/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для очистки воды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С помощью таких веществ получится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доочистить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жидкость до требуемых стандартов качества. Специальная обработка дает нужный результат вне зависимости от источников получения жидкостного сырья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Отработанная технология выпуска позволяет улучшать состав Н2О, взятой для питья либо сбрасываемой в сточные коллекторы и городские канализационные сети. Но эту задачу могут решать также коагулянты для очистки воды. Оба класса реагентов применяют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на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:</w:t>
      </w:r>
    </w:p>
    <w:p w:rsidR="00B2289C" w:rsidRPr="00B2289C" w:rsidRDefault="00B2289C" w:rsidP="00B2289C">
      <w:pPr>
        <w:numPr>
          <w:ilvl w:val="0"/>
          <w:numId w:val="3"/>
        </w:num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Водоподготовительных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контурах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ТЭЦ и промышленных котельных;</w:t>
      </w:r>
    </w:p>
    <w:p w:rsidR="00B2289C" w:rsidRPr="00B2289C" w:rsidRDefault="00B2289C" w:rsidP="00B2289C">
      <w:pPr>
        <w:numPr>
          <w:ilvl w:val="0"/>
          <w:numId w:val="3"/>
        </w:num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Станциях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углубленной очистки канализационных компаний;</w:t>
      </w:r>
    </w:p>
    <w:p w:rsidR="00B2289C" w:rsidRPr="00B2289C" w:rsidRDefault="00B2289C" w:rsidP="00B2289C">
      <w:pPr>
        <w:numPr>
          <w:ilvl w:val="0"/>
          <w:numId w:val="3"/>
        </w:num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Аппаратах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водоснабжения индустриальных объектов;</w:t>
      </w:r>
    </w:p>
    <w:p w:rsidR="00B2289C" w:rsidRPr="00B2289C" w:rsidRDefault="00B2289C" w:rsidP="00B2289C">
      <w:pPr>
        <w:numPr>
          <w:ilvl w:val="0"/>
          <w:numId w:val="3"/>
        </w:num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Сельскохозяйственных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предприятиях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широкого спектра деятельности</w:t>
      </w:r>
    </w:p>
    <w:p w:rsidR="00B2289C" w:rsidRPr="00B2289C" w:rsidRDefault="00B2289C" w:rsidP="00B2289C">
      <w:pPr>
        <w:spacing w:after="0" w:line="288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Очистка вод коагулянтами и </w:t>
      </w:r>
      <w:proofErr w:type="spellStart"/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флокулянтами</w:t>
      </w:r>
      <w:proofErr w:type="spellEnd"/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Две группы реактивов упомянуты в связке намеренно. Только солидарная очистка вод коагулянтами 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флокулянтами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дарует блистательное торжество чистоты.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Коагуляция — суть укрупнение частиц, расположенных в жидкостной толще в режиме коллоидной формации. 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Складывающие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микрохлопья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обнаруживаются проще и отделяются естественным образом. У загрязнений только отбирают отрицательный электрический заряд, и потому разворачивается слипание в рыхлые комья.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Флокуляция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— следующий шаг (выработка химических связок, стягивающих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микрохлопья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). Тип связи — полимерный мостик — прочно сцепляет увеличенные комочки. Но простота описания не вводит в заблуждение профессионалов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В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производственных и бытовых условиях зачастую требуется очистка воды для доведения ее химического состава до действующих нормативов. Обработке подлежит как вода, взятая из природных или иных источников и предназначенная для питья, так и сточные жидкости, образующиеся в процессе производства.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Очистка происходит с помощью специальных реагентов, разделяющихся на коагулянты 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флокулянты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. Они используются также при водоподготовке ТЭЦ и котельных, в промышленности и сельском хозяйстве.</w:t>
      </w:r>
    </w:p>
    <w:p w:rsidR="00B2289C" w:rsidRPr="00B2289C" w:rsidRDefault="00B2289C" w:rsidP="00B2289C">
      <w:pPr>
        <w:spacing w:after="0" w:line="288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Особенности коагулянтов и </w:t>
      </w:r>
      <w:proofErr w:type="spellStart"/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флокулянтов</w:t>
      </w:r>
      <w:proofErr w:type="spellEnd"/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для воды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Для достижения высоких качественных показателей воды применяют оба вида реагентов. Процесс очистки происходит в два этапа, неразрывно связанных между собой.</w:t>
      </w:r>
    </w:p>
    <w:p w:rsidR="00B2289C" w:rsidRPr="00B2289C" w:rsidRDefault="00B2289C" w:rsidP="00B2289C">
      <w:pPr>
        <w:spacing w:after="0" w:line="288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1.Коагуляция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Коагуляция направлена на укрупнение коллоидных частиц и образование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микрохлопьев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, легко выявляющихся в водной суспензии. Происходит это за счет нейтрализации отрицательного заряда, во время которой агрегаты собираются в рыхлую массу.</w:t>
      </w:r>
    </w:p>
    <w:p w:rsidR="00B2289C" w:rsidRPr="00B2289C" w:rsidRDefault="00B2289C" w:rsidP="00B2289C">
      <w:pPr>
        <w:spacing w:after="0" w:line="288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2.Флокуляция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Флокуляция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является продолжением коагуляции и способствует возникновению химических связей между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микрохлопьями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, образовавшимися после первого этапа. Благодаря этому сгустки скрепляются между собой полимерными мостиками, образуя более крупные комочки. 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Сроки, дозы и последовательность применения реагентов зависят от свойств конкретной жидкости и определяются исходя из ее физико-химических показателей. Выпавший осадок удаляется из суспензии, а вода, полученная в результате очистки, соответствует заданным нормативам и критериям. 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У загрязнений только отбирают отрицательный электрический заряд, и потому разворачивается слипание в рыхлые комья.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Флокуляция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— следующий шаг (выработка химических связок, стягивающих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микрохлопья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). Тип связи — полимерный мостик — прочно сцепляет увеличенные комочки. Но простота описания не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вводит в заблуждение профессионалов Они крепко думают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до всякого использования парного режима.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Количество веществ, время активации, температура, последовательность воздействия — избираются нормально лишь лицами с высшим химическим образованием. 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Физико-химический анализ на месте гарантирует, что раствор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флокулянта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либо раствор коагулянта сработают рациональным образом. Ассортимент включает ряд типов действительных, апробированных смесей. Подтверждена пригодность таковых в производственной практике и в работе водопроводных сетей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Вместо того чтобы закупать жидкий коагулянт и иное отдельно, стоит обратить внимание на смешанный агент АКФК в канистрах 5 литров. На прочистку 1 кубометра воды тратится 200 миллилитров состава. Водородный показатель не меняется. Ликвидируются одноклеточные водоросли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Жидкий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коагуляционный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конгломерат PAX-18 отменно работает в очистной и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подготовительной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сферах, сокращает длительность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фильтроцикла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. Снижение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pH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минимизировано. Уничтожаются нитевидные бактерии в осадочных веществах. Допустимо использование при рекультивации озер и в целлюлозно-бумажной индустрии.</w:t>
      </w:r>
    </w:p>
    <w:p w:rsidR="00B2289C" w:rsidRPr="00B2289C" w:rsidRDefault="00B2289C" w:rsidP="00B2289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</w:p>
    <w:p w:rsidR="00B2289C" w:rsidRPr="00B2289C" w:rsidRDefault="00B2289C" w:rsidP="00B2289C">
      <w:pPr>
        <w:spacing w:after="0" w:line="30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ОБРАБОТКА ВОДЫ ХИМИЧЕСКИМИ РЕАГЕНТАМИ</w:t>
      </w:r>
    </w:p>
    <w:p w:rsidR="00B2289C" w:rsidRPr="00B2289C" w:rsidRDefault="00B2289C" w:rsidP="00B2289C">
      <w:pPr>
        <w:spacing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В процессах обработки воды применяется большое количество реагентов и матери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алов: соли, кислоты, щелочи, сорбенты. Реагенты поставляются в твердом, жидком или газообразном состоянии. От свойств реагента зависят условия его хранения и подготов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ки к дозированию в воду.</w:t>
      </w:r>
    </w:p>
    <w:p w:rsidR="00B2289C" w:rsidRPr="00B2289C" w:rsidRDefault="00B2289C" w:rsidP="00B2289C">
      <w:pPr>
        <w:spacing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2"/>
        <w:gridCol w:w="2114"/>
        <w:gridCol w:w="1771"/>
        <w:gridCol w:w="1451"/>
        <w:gridCol w:w="2557"/>
      </w:tblGrid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Реагенты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Химическая формула основ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ного вещества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ГОСТы и норма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тивные докумен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ты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Насыпная масса, т/м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3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при обработке воды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Алюминий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сернокислый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очищенный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(сульфат</w:t>
            </w:r>
            <w:proofErr w:type="gramEnd"/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алюминия,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гидрат)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A1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(S0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*14H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A1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(S0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*18H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12966-85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1,1-1,4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Коагуляция приме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сей воды при ос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ветлении и обес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цвечивании воды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Оксихлорид</w:t>
            </w:r>
            <w:proofErr w:type="spellEnd"/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алюминия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(«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Аурат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[А1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(ОН)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5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С1]</w:t>
            </w:r>
          </w:p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•6Н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Хлорное железо (хло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рид железа (III))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FeCl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особенно целесообразно при низких температу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рах вод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Сернокислое окисное же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лезо (суль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фат железа (III), гидрат)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(S0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*9H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ВТУУХКП 52-80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Железный купорос тех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нический (сульфат железа (И), гидрат)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FeS0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*7H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1,15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применяется при известковом и известково-содовом умягчении воды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Стекло на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триевое жид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кое (метаси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ликат натрия технический)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13078-81*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13079-81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1,43-1,55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активации в качестве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флокулянта</w:t>
            </w:r>
            <w:proofErr w:type="spellEnd"/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Полиакрила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мид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техниче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ский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Сополимер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да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солей акри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ловой кислоты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 120221-84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ВТУ 70401-86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Флокуляция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интенсификации хлопьеобразования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 жидкий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Сl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6718-88*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1,41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Хлорирование воды для обеззаражива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и интенсифика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ции процессов ее осветления и обес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цвечивания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Хлорная из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весть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СаОСl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1692-85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Хлорирование воды для обеззаражива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и интенсифика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ции процессов ее осветления и обес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цвечивания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ипохлорит</w:t>
            </w:r>
            <w:proofErr w:type="spellEnd"/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натрия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NaCIO</w:t>
            </w:r>
            <w:proofErr w:type="spellEnd"/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11086-86*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</w:t>
            </w:r>
            <w:proofErr w:type="spellEnd"/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Тиосульфат натрия (тио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сульфат на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трия, гидрат)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*5H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11086-86*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Дехлорирование</w:t>
            </w:r>
            <w:proofErr w:type="spellEnd"/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воды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Сернистый ангидрид жид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кий техниче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ский (оксид серы (IV))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2918-89*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1,38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Сульфит на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трия (сульфит натрия, гидрат)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*7H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903-86*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Уголь актив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ный марки: ОУ, сухой БАУ (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древес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ный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 йодный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рекуперацио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4453-84*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6217-84*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МРТУ 601611-83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8703-84*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же, устранение привкусов и запа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хов, придаваемых воде органическими веществами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же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Марганцово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кислый калий технический (перманганат калия)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KMnO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1,36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Устранение привку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сов и запахов воды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Медный купо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рос (сульфат меди)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CuS0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19347-84Е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1,18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Устранение цвете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воды в водо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емах, биологическо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го обрастания и раз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вития водорослей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Аммиак жид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кий синтетиче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ский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6221-82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*Е</w:t>
            </w:r>
            <w:proofErr w:type="gramEnd"/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Аммонизация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воды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Аммиак вод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ный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+ NH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OH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3760-89*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0,91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Сульфат аммо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(NH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)2S0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10873- 83*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1,03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Аммоний хло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ристый (аммо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ний хлорид)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3769-89*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2210- 83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*Е</w:t>
            </w:r>
            <w:proofErr w:type="gramEnd"/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Аммоний-натрий-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катионирование</w:t>
            </w:r>
            <w:proofErr w:type="spellEnd"/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Известь строи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тельная, воз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душная каль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цинированная (оксид каль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ция)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СаО</w:t>
            </w:r>
            <w:proofErr w:type="spellEnd"/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9179-87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Подщелачивание воды, устранение карбонатной и маг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незиальной жестко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сти воды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Едкий натр технический (гидроксид натрия)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NaOH</w:t>
            </w:r>
            <w:proofErr w:type="spellEnd"/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Подщелачивание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воды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Сода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кальци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нированная техническая (карбонат на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трия)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2263-89*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5100-85Е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10689- 85*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 0,9-1,2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Регенерация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нитовых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фильтров Подщелачивание воды Устранение некар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бонатной жесткости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Кислота серная техническая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2184-87*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1,84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Стабилизационная обработка воды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Кислота соля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ная техниче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ская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</w:t>
            </w:r>
            <w:proofErr w:type="spellEnd"/>
            <w:proofErr w:type="gramEnd"/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857-88*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 601-1194-89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Регенерация Н-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катионитовых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фильтров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же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Тринатри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фосфат техни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ческий (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фосфат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натрия, гидрат)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*12H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201-86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*Е</w:t>
            </w:r>
            <w:proofErr w:type="gramEnd"/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Стабилизационная обработка воды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Доумягчение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воды перед котельными установками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ексаметафо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фат натрия технический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(NaP0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6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МРТУ 6085-84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Стабилизационная обработка воды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Натрий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кремнеф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тористый</w:t>
            </w:r>
            <w:proofErr w:type="spellEnd"/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технический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кремнефторид</w:t>
            </w:r>
            <w:proofErr w:type="spellEnd"/>
            <w:proofErr w:type="gramEnd"/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натрия)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Na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SiF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6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 14/0769-84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выпадения осадка гидроксида железа Фторирование воды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Натрий фтористый технический (фторид натрия)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NaF</w:t>
            </w:r>
            <w:proofErr w:type="spellEnd"/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0,95-1,0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Аммоний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кремнефтористый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кремнефторид</w:t>
            </w:r>
            <w:proofErr w:type="spellEnd"/>
            <w:proofErr w:type="gramEnd"/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аммония)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(NH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)SiF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6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 608-2-85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Аммоний фтористый (фторид аммония)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ЦМРТУ 3437- 83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 же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1230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Оксид алюминия активный</w:t>
            </w:r>
          </w:p>
        </w:tc>
        <w:tc>
          <w:tcPr>
            <w:tcW w:w="99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AI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</w:p>
        </w:tc>
        <w:tc>
          <w:tcPr>
            <w:tcW w:w="828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8136-85</w:t>
            </w:r>
          </w:p>
        </w:tc>
        <w:tc>
          <w:tcPr>
            <w:tcW w:w="676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0,4-0,75</w:t>
            </w:r>
          </w:p>
        </w:tc>
        <w:tc>
          <w:tcPr>
            <w:tcW w:w="1195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Обесфторивание</w:t>
            </w:r>
            <w:proofErr w:type="spellEnd"/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воды</w:t>
            </w:r>
          </w:p>
        </w:tc>
      </w:tr>
    </w:tbl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В практике водоподготовки применяются неорганические коагулянты в сочетании с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флокулянтами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. Преимущество совместного использования этих двух групп реагентов состоит в том, что коагулянты и продукты их гидролиза обладают высокой адсорбцион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ной и коагулирующей активностью по отношению к растворенным коллоидным загряз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нениям, а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флокулянты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способствуют укрупнению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скоагулированных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загрязненний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 их выделению из очищаемой воды отстаиванием, флотацией, фильтрованием.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В этой связи привлекательным является использование для очистки природных вод композиционных (смешанных) реагентов, которые выполняли бы в комплексе функции коагулянта,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флокулянта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,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осадителя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 адсорбента и обладали бы синергетическим эф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фектом.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Композиционные реагенты по компонентному составу разделяются:</w:t>
      </w:r>
    </w:p>
    <w:p w:rsidR="00B2289C" w:rsidRPr="00B2289C" w:rsidRDefault="00B2289C" w:rsidP="00B2289C">
      <w:pPr>
        <w:numPr>
          <w:ilvl w:val="0"/>
          <w:numId w:val="4"/>
        </w:num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на неорганические коагулянты;</w:t>
      </w:r>
    </w:p>
    <w:p w:rsidR="00B2289C" w:rsidRPr="00B2289C" w:rsidRDefault="00B2289C" w:rsidP="00B2289C">
      <w:pPr>
        <w:numPr>
          <w:ilvl w:val="0"/>
          <w:numId w:val="4"/>
        </w:num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органические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флокулянты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;</w:t>
      </w:r>
    </w:p>
    <w:p w:rsidR="00B2289C" w:rsidRPr="00B2289C" w:rsidRDefault="00B2289C" w:rsidP="00B2289C">
      <w:pPr>
        <w:numPr>
          <w:ilvl w:val="0"/>
          <w:numId w:val="4"/>
        </w:num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коагулирующе-флокулирующие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композиции;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Композиционные неорганические коагулянты (КНК) представляют смеси неорга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нических алюмини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й-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 железосодержащих коагулянтов. Они могут содержать также различные минеральные добавки, увеличивающие их коагулирующую или адсорбцион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ную способность.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Композиционные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флокулянты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(КФ) получают смешением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флокулянтов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, обладаю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щих разными свойствами — молекулярной массой, величиной и знаком заряда, химиче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ским строением.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Коагулирующе-флокулирующие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композиционные реагенты (КФК) включают в ка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честве компонентов неорганические коагулянты, органические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флокулянты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 различ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ные активные добавки, изменяющие те или иные характеристики КФК.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Композиционные реагенты изготавливают путем смешения отдельных компонен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тов или их растворов или переработкой смешанного сырья или отходов производства.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Использование последних позволяет дополнительно решать экологические проблемы, связанные с утилизацией отходов. Реже используют специальные технологии получе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ния. Например, в ОАО «Сорбент»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гидроксохлорсульфат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алюминия получают в процессе смешения сплава сульфата алюминия и раствора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гидроксохлорида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алюминия, выдержки и последующей кристаллизации смеси. Алюмосиликатный коагулянт АКФК получают путем обработки природного алюмосиликата нефелина минеральной кислотой.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Композиционные реагенты могут выпускаться в виде жидкостей, суспензий, по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рошков, гранул. Преимуществом порошкообразных композиционных реагентов явля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ются удобства, связанные с их транспортировкой и хранением.</w:t>
      </w:r>
    </w:p>
    <w:p w:rsidR="00B2289C" w:rsidRPr="00B2289C" w:rsidRDefault="00B2289C" w:rsidP="00B2289C">
      <w:pPr>
        <w:spacing w:line="30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Состав коагулирующее-</w:t>
      </w:r>
      <w:proofErr w:type="spellStart"/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флокулирующих</w:t>
      </w:r>
      <w:proofErr w:type="spellEnd"/>
      <w:r w:rsidRPr="00B2289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композиций</w:t>
      </w:r>
    </w:p>
    <w:tbl>
      <w:tblPr>
        <w:tblW w:w="748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0"/>
        <w:gridCol w:w="4895"/>
      </w:tblGrid>
      <w:tr w:rsidR="00B2289C" w:rsidRPr="00B2289C" w:rsidTr="00B2289C">
        <w:trPr>
          <w:tblCellSpacing w:w="15" w:type="dxa"/>
        </w:trPr>
        <w:tc>
          <w:tcPr>
            <w:tcW w:w="25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Вид, наименование</w:t>
            </w:r>
          </w:p>
        </w:tc>
        <w:tc>
          <w:tcPr>
            <w:tcW w:w="490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5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Коагулянт-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флокулянт</w:t>
            </w:r>
            <w:proofErr w:type="spellEnd"/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АКФК</w:t>
            </w:r>
          </w:p>
        </w:tc>
        <w:tc>
          <w:tcPr>
            <w:tcW w:w="490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Водный раствор, содержащий соли алюминия — 2,1% по оксиду и кремния — 3% по оксиду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5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Смесь солей амфотерного металла и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флокулянта</w:t>
            </w:r>
            <w:proofErr w:type="spellEnd"/>
          </w:p>
        </w:tc>
        <w:tc>
          <w:tcPr>
            <w:tcW w:w="490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Смесь 1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.ч</w:t>
            </w:r>
            <w:proofErr w:type="spellEnd"/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катионного полиэлектролита с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молек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массой 500-5000 и 0,2-3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вес.ч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соли (ZnCl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С1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А1 Cl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ZnS0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5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Бинарная смесь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цинката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ще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лочного металла и катионного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полиамина</w:t>
            </w:r>
            <w:proofErr w:type="spellEnd"/>
          </w:p>
        </w:tc>
        <w:tc>
          <w:tcPr>
            <w:tcW w:w="490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Водный раствор с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8-11, содержащий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цинкат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натрия и катионный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полиамин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ассой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500-100000 в отношении (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вес.ч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.): 1 (по Zn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2+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0,2-0,5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5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Смесь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оксихлорида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алюминия и 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катионных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флокулянтов</w:t>
            </w:r>
            <w:proofErr w:type="spellEnd"/>
          </w:p>
        </w:tc>
        <w:tc>
          <w:tcPr>
            <w:tcW w:w="490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Смесь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оксихлорида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алюминия и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полиамина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(или)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полид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метилдиаллиламмоний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хлорида в весовом отношении 5:1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5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Смесь ГОХА и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неионных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анионных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флокулянтов</w:t>
            </w:r>
            <w:proofErr w:type="spellEnd"/>
          </w:p>
        </w:tc>
        <w:tc>
          <w:tcPr>
            <w:tcW w:w="490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Смесь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гидроксохлорида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алюминия и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полиакриламида</w:t>
            </w:r>
            <w:proofErr w:type="spellEnd"/>
          </w:p>
        </w:tc>
      </w:tr>
      <w:tr w:rsidR="00B2289C" w:rsidRPr="00B2289C" w:rsidTr="00B2289C">
        <w:trPr>
          <w:tblCellSpacing w:w="15" w:type="dxa"/>
        </w:trPr>
        <w:tc>
          <w:tcPr>
            <w:tcW w:w="25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Смесь солей алюминия,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кулянта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минеральных доба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вок</w:t>
            </w:r>
          </w:p>
        </w:tc>
        <w:tc>
          <w:tcPr>
            <w:tcW w:w="490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Жидкая суспензия, содержащая 10-90% по весу 50% водно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го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оксихлорида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алюминия, 10-90% по весу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полидиметилд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аллиламмоний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хлорида и до 2% 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тонкодисперсной слюды формулы H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2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KA1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3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(S0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4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5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Смесь солей алюминия,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кулянта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минеральных доба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вок</w:t>
            </w:r>
          </w:p>
        </w:tc>
        <w:tc>
          <w:tcPr>
            <w:tcW w:w="490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Смесь сульфата алюминия,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полиакриламида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извести, акти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вированного кислотой бентонита, адипиновой кислоты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56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Смесь солей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трехвалентых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металлов, катионного и ани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онного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флокулянтов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мине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ральных добавок</w:t>
            </w:r>
          </w:p>
        </w:tc>
        <w:tc>
          <w:tcPr>
            <w:tcW w:w="490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Порошковая смесь (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</w:t>
            </w:r>
            <w:proofErr w:type="gram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.%) солей трехвалентных метал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лов (30-55%), катионного (1-2%) и (1-2%) анионного </w:t>
            </w: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фло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кулянтов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активированного бентонита (3-65%) и карбоната натрия (остальное)</w:t>
            </w:r>
          </w:p>
        </w:tc>
      </w:tr>
    </w:tbl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К известным торговым маркам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коагулирующе-флокулирующих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композиций отно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сятся немецкие коагулянты марок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Bets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,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Efapur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,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Polysorb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, отечественные реагенты марок АКФК, «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Оседон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», ЛКР, СКИФ на основе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оксихлорида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алюминия (ОАО «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Аурат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»), коагу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лянт DREWO на основе соли цинка (Италия).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Практический интерес представляют бинарные композиции, содержащие коагу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лянт 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, поскольку они могут заменить эти реагенты при их раздельном при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менении для очистки природных и сточных вод.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Известные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коагулирующе-флокулирующие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композиции на основе минеральных коагулянтов и органических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флокулянтов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состоят из солей алюминия и железа,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неион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ных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или катионных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флокулянтов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. Применение органических анионных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флокулянтов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в таких композициях ограниченно, поскольку при их взаимодействии с солями алюминия или железа возможно образование нерастворимых продуктов.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Имеющиеся результаты исследований физико-химических свойств растворов бинар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ных композиций на основе солей алюминия, железа и водорастворимых полимеров сви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детельствуют о наличии химических взаимодействий между компонентами, приводящих к образованию устойчивых металлосодержащих полимерных комплексов. Эффектив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ность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коагулирующе-флокулирующих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композиций может определяться аддитивным (са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мостоятельным) или синергетическим эффектом входящих в них компонентов. При ис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пользовании для очистки воды композиционных алюмокремниевых коагулянтов проявля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ются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флокулирующие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свойства активной кремниевой кислоты и коагулирующие дейст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вия соединений алюминия. Образующиеся соединения типа Al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2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Si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2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0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5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(0H)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4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 способствуют повышению эффективности применения такого композиционного реагента.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При использовании порошковых композиций того же состава, в которых химичес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кие воздействия отсутствуют, проявляется аддитивный эффект компонентов компози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ции. Сначала протекает гидролиз коагулянта, а затем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флокуляция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адсорбированных про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дуктами гидролиза загрязнений благодаря различной скорости растворения коагулянта 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флокулянта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. В результате эффективность применения порошковых композиций для очистки воды растет с увеличением катионной активности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флокулянта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, входящего в их состав, как и при последовательном вводе коагулянта 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флокулянта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, что является кос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венным доказательством одинакового механизма протекания процесса.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Коагулирующе-флокулирующие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композиции эффективны для очистки как природ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ных, так и сточных вод и с успехом могут заменить эти же реагенты при их раздельном применении.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Композиционный коагулянт-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на основе сульфата алюминия 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поли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акриламида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марки СА-ЗН-600, разработанный ОАО «Сорбент» при участии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Пермвод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о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-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канала и Пермэнерго, позволяет упростить технологию очистки и повысить ее эффек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тивность на станциях, не имеющих отдельного узла приготовления растворов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лянта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. Данный реагент прошел промышленные испытания на одной из ТЭЦ Пермэнер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го с положительным результатом.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При очистке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маломутной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природной воды эффективно введение в воду водного раствора композиции, содержащей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гидролизующуюся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соль алюминия и водораствори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мый полиэлектролит катионного типа. В качестве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гидролизующейся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соли алюминия (ГСА) может быть использован сульфат алюминия, основный сульфат алюминия, хло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рид алюминия, основный хлорид алюминия. В качестве водорастворимого полиэлект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ролита катионного типа предлагается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полидиметилдиаллиламмонийгидрохлорид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(ПДАДМАХ) (молекулярная масса 200000-1000000). Соотношение ГСА к ПДАДМАХ составляет (2-10): 1 в пересчете на 100%-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ный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продукт. Данный реагент позволяет очи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щать воды в холодное время года.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При соотношении компонентов 5:1 отмечается синергетический эффект при ис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пользовании композиции для очистки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маломутной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воды с низкой щелочностью.</w:t>
      </w:r>
    </w:p>
    <w:p w:rsidR="00B2289C" w:rsidRPr="00B2289C" w:rsidRDefault="00B2289C" w:rsidP="00B2289C">
      <w:pPr>
        <w:spacing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В институте ВОДГЕО (д.т.н. JI.B.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proofErr w:type="spellStart"/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Гандуриной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) разработана и производится серия двух- и трехкомпонентных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коагулирующе-флокулирующих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композиций серии ЛKP для очистки воды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гидрофильтров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от различных типов ЛKM.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Коагулянты представляют со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бой высокоэффективные, нетоксичные, неагрессивные порошкообразные или жидкие продукты, способные действовать в нейтральной среде. По эффективности их действия данные реагенты не уступают зарубежным аналогам.</w:t>
      </w:r>
    </w:p>
    <w:tbl>
      <w:tblPr>
        <w:tblW w:w="735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2"/>
        <w:gridCol w:w="2063"/>
        <w:gridCol w:w="1725"/>
      </w:tblGrid>
      <w:tr w:rsidR="00B2289C" w:rsidRPr="00B2289C" w:rsidTr="00B2289C">
        <w:trPr>
          <w:tblCellSpacing w:w="15" w:type="dxa"/>
        </w:trPr>
        <w:tc>
          <w:tcPr>
            <w:tcW w:w="35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Реагент</w:t>
            </w:r>
          </w:p>
        </w:tc>
        <w:tc>
          <w:tcPr>
            <w:tcW w:w="20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Доза, мг/л</w:t>
            </w:r>
          </w:p>
        </w:tc>
        <w:tc>
          <w:tcPr>
            <w:tcW w:w="169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Мутность, мг/л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35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ПДАДМАХ</w:t>
            </w:r>
          </w:p>
        </w:tc>
        <w:tc>
          <w:tcPr>
            <w:tcW w:w="20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9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35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Оксихлорид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алюминия</w:t>
            </w:r>
          </w:p>
        </w:tc>
        <w:tc>
          <w:tcPr>
            <w:tcW w:w="20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9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355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Оксихлорид</w:t>
            </w:r>
            <w:proofErr w:type="spellEnd"/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алюминия/ПДАДМАХ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5:1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10:1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20:1</w:t>
            </w:r>
          </w:p>
        </w:tc>
        <w:tc>
          <w:tcPr>
            <w:tcW w:w="208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95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</w:p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</w:t>
            </w:r>
          </w:p>
        </w:tc>
      </w:tr>
    </w:tbl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Технологические схемы очистки природных и сточных вод с применением компо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зиционных реагентов ничем не отличаются от схем с самостоятельным применением коагулянтов 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флокулянтов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. 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Композиционные реагенты могут дозироваться в виде рас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творов, суспензий или порошков. Порошкообразные композиционные реагенты дозиру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ют непрерывно шнековым дозатором или периодически отдельными порциями через воронку в зону интенсивного перемешивания непосредственно в смеситель.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Выбор реагентов определяется принятой технологией водоочистки, качеством ис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ходной воды и требованиями к степени ее очистки. Расчетные дозы реагентов по их ак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тивной части устанавливаются в зависимости от качества обрабатываемой воды с уче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том допустимых их количеств в очищенной воде. В процессе эксплуатации сооружений дозы реагентов должны уточняться для каждого периода колебаний качества воды.</w:t>
      </w:r>
    </w:p>
    <w:p w:rsidR="00B2289C" w:rsidRPr="00B2289C" w:rsidRDefault="00B2289C" w:rsidP="00B2289C">
      <w:pPr>
        <w:spacing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Ориентировочная доза коагулянта определяется  в зависимости от мутности исходной воды. При применении контактных осветлителей или контактных фильтров эта доза может быть уменьшена на 10-15%. При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коагулировании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воды алю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минатом натрия его доза составляет 1/10-1/20 от дозы сернокислого алюминия.</w:t>
      </w:r>
    </w:p>
    <w:tbl>
      <w:tblPr>
        <w:tblW w:w="550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2"/>
        <w:gridCol w:w="3353"/>
      </w:tblGrid>
      <w:tr w:rsidR="00B2289C" w:rsidRPr="00B2289C" w:rsidTr="00B2289C">
        <w:trPr>
          <w:tblCellSpacing w:w="15" w:type="dxa"/>
        </w:trPr>
        <w:tc>
          <w:tcPr>
            <w:tcW w:w="21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Мутность воды, мг/л</w:t>
            </w:r>
          </w:p>
        </w:tc>
        <w:tc>
          <w:tcPr>
            <w:tcW w:w="33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Доза безводного коагулянта для обра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ботки мутных вод, мг/л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1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100</w:t>
            </w:r>
          </w:p>
        </w:tc>
        <w:tc>
          <w:tcPr>
            <w:tcW w:w="33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25-30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1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100 до 200</w:t>
            </w:r>
          </w:p>
        </w:tc>
        <w:tc>
          <w:tcPr>
            <w:tcW w:w="33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30-40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1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200 до 400</w:t>
            </w:r>
          </w:p>
        </w:tc>
        <w:tc>
          <w:tcPr>
            <w:tcW w:w="33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35-45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1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400 до 600</w:t>
            </w:r>
          </w:p>
        </w:tc>
        <w:tc>
          <w:tcPr>
            <w:tcW w:w="33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45-50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1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600 до 800</w:t>
            </w:r>
          </w:p>
        </w:tc>
        <w:tc>
          <w:tcPr>
            <w:tcW w:w="33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50-60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1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800 до 1000</w:t>
            </w:r>
          </w:p>
        </w:tc>
        <w:tc>
          <w:tcPr>
            <w:tcW w:w="33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60-70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13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1000 до 1500</w:t>
            </w:r>
          </w:p>
        </w:tc>
        <w:tc>
          <w:tcPr>
            <w:tcW w:w="33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70-80</w:t>
            </w:r>
          </w:p>
        </w:tc>
      </w:tr>
    </w:tbl>
    <w:p w:rsidR="00B2289C" w:rsidRPr="00B2289C" w:rsidRDefault="00B2289C" w:rsidP="00B2289C">
      <w:pPr>
        <w:spacing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Дозы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флокулянтов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ПАА,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применяемых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для улучшения процесса хлопьеобразова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ния, ориентировочно определяются по таблице:</w:t>
      </w:r>
    </w:p>
    <w:tbl>
      <w:tblPr>
        <w:tblW w:w="715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7"/>
        <w:gridCol w:w="2568"/>
        <w:gridCol w:w="2470"/>
      </w:tblGrid>
      <w:tr w:rsidR="00B2289C" w:rsidRPr="00B2289C" w:rsidTr="00B2289C">
        <w:trPr>
          <w:tblCellSpacing w:w="15" w:type="dxa"/>
        </w:trPr>
        <w:tc>
          <w:tcPr>
            <w:tcW w:w="210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Мутность воды, мг/л</w:t>
            </w:r>
          </w:p>
        </w:tc>
        <w:tc>
          <w:tcPr>
            <w:tcW w:w="258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Цветность воды, град Р1-С</w:t>
            </w: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bscript"/>
                <w:lang w:eastAsia="ru-RU"/>
              </w:rPr>
              <w:t>0</w:t>
            </w:r>
          </w:p>
        </w:tc>
        <w:tc>
          <w:tcPr>
            <w:tcW w:w="24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Доза безводного ПАА, мг/л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10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</w:t>
            </w:r>
          </w:p>
        </w:tc>
        <w:tc>
          <w:tcPr>
            <w:tcW w:w="258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&gt;50</w:t>
            </w:r>
          </w:p>
        </w:tc>
        <w:tc>
          <w:tcPr>
            <w:tcW w:w="24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1-1,5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10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10 до 100</w:t>
            </w:r>
          </w:p>
        </w:tc>
        <w:tc>
          <w:tcPr>
            <w:tcW w:w="258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30-100</w:t>
            </w:r>
          </w:p>
        </w:tc>
        <w:tc>
          <w:tcPr>
            <w:tcW w:w="24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0,3-0,6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10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 100 до 500</w:t>
            </w:r>
          </w:p>
        </w:tc>
        <w:tc>
          <w:tcPr>
            <w:tcW w:w="258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20-60</w:t>
            </w:r>
          </w:p>
        </w:tc>
        <w:tc>
          <w:tcPr>
            <w:tcW w:w="24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0,2-0,5</w:t>
            </w:r>
          </w:p>
        </w:tc>
      </w:tr>
      <w:tr w:rsidR="00B2289C" w:rsidRPr="00B2289C" w:rsidTr="00B2289C">
        <w:trPr>
          <w:tblCellSpacing w:w="15" w:type="dxa"/>
        </w:trPr>
        <w:tc>
          <w:tcPr>
            <w:tcW w:w="210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500 до 1500</w:t>
            </w:r>
          </w:p>
        </w:tc>
        <w:tc>
          <w:tcPr>
            <w:tcW w:w="258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246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B2289C" w:rsidRPr="00B2289C" w:rsidRDefault="00B2289C" w:rsidP="00B2289C">
            <w:pPr>
              <w:spacing w:after="24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8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0,2-1</w:t>
            </w:r>
          </w:p>
        </w:tc>
      </w:tr>
    </w:tbl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Доза хлорсодержащих реагентов (по активному хлору) принимается: для обеззара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живания воды поверхностных источников после ее очистки — до 2-3 мг/л, подземных источников — 0,7-1 мг/л. При большом содержании органических веществ в исходной воде для улучшения процессов коагуляции и обесцвечивания производится предвари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тельное ее хлорирование дозой хлора более 3 мг/л.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Дозы порошкового активного угля или перманганата калия, используемых для уда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ления привкусов и запахов из воды, определяются по результатам технологических ис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следований.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Суточный расход реагентов подсчитывается по формуле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C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сут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=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ДQ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сут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/10ρ</w:t>
      </w:r>
    </w:p>
    <w:p w:rsid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где 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Д-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доза реагента, мг/л; 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Q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сут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— полная производительность станции, м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perscript"/>
          <w:lang w:eastAsia="ru-RU"/>
        </w:rPr>
        <w:t>3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/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сут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(для суток с максимальным водопотреблением); ρ — содержание активного вещества в реагенте, %.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</w:p>
    <w:p w:rsidR="00B2289C" w:rsidRDefault="00B2289C" w:rsidP="00B2289C">
      <w:pPr>
        <w:spacing w:after="0" w:line="300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shd w:val="clear" w:color="auto" w:fill="FFFFFF"/>
          <w:lang w:eastAsia="ru-RU"/>
        </w:rPr>
        <w:t>Подбор технологического оборудования</w:t>
      </w:r>
    </w:p>
    <w:p w:rsidR="00B2289C" w:rsidRPr="00B2289C" w:rsidRDefault="00B2289C" w:rsidP="00B2289C">
      <w:pPr>
        <w:spacing w:after="0" w:line="300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На складах должен храниться запас реагента на срок до 30 суток в зависимости от </w:t>
      </w:r>
      <w:proofErr w:type="spellStart"/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Q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сут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. Расчетный запас реагентов (доставляемых навалом) округляется до единиц, крат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ных грузоподъемности транспортных средств (вагоны — 60 т, автосамосвал — 4 т), а для реагентов, доставляемых в таре, кратным весу одной упаковки.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Годовой расход реагентов,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год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, определяют по формуле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год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=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ср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Q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сут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.с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р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*365*100/1*10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perscript"/>
          <w:lang w:eastAsia="ru-RU"/>
        </w:rPr>
        <w:t>6*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ρ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где 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ср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 — средняя для разных периодов года доза реагента, мг/л; 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Q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сут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.с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р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 — полная произ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водительность станции, м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perscript"/>
          <w:lang w:eastAsia="ru-RU"/>
        </w:rPr>
        <w:t>3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/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сут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(для суток со средним водопотреблением).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Поставки и хранение реагентов на водопроводной станции производятся в сухом и жидком состоянии, а их дозирование в воду — в виде растворов, суспензий или сухого порошка. Все это определяет большой набор схем хранения и приготовления реагентов.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Схема приготовления коагулянта при сухом хранении, представленная на рисунке, целесообразна при расходе коагулянта до 5-6 т/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сут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. Транспортирование коагулянта по складу и загрузку в растворные баки осуществляют с кран-балкой и подвесным грейфе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ром емкостью до 0,5 м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perscript"/>
          <w:lang w:eastAsia="ru-RU"/>
        </w:rPr>
        <w:t>3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 с помощью дистанционного пульта.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Склад коагулянта находится в неотапливаемом помещении. Высота склада должна позволять производить беспрепятственную выгрузку коагулянта и его транспортирова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ние по складу.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Площадь складов следует рассчитывать на хранение 30-дневного запаса, считая по периоду максимальной потребности реагента: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F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скл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=1,15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Q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сут. 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ДТ/10000ργ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0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h</w:t>
      </w:r>
    </w:p>
    <w:p w:rsidR="00B2289C" w:rsidRPr="00B2289C" w:rsidRDefault="00B2289C" w:rsidP="00B2289C">
      <w:pPr>
        <w:spacing w:after="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где 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Q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cym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— полная производительность очистной станции, м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perscript"/>
          <w:lang w:eastAsia="ru-RU"/>
        </w:rPr>
        <w:t>3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/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сут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; </w:t>
      </w:r>
      <w:proofErr w:type="gram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Д-</w:t>
      </w:r>
      <w:proofErr w:type="gram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 доза реагента, г/м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perscript"/>
          <w:lang w:eastAsia="ru-RU"/>
        </w:rPr>
        <w:t>3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; Т — продолжительность хранения реагента,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сут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; ρ — содержание активного вещества в реагенте, %; γ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bscript"/>
          <w:lang w:eastAsia="ru-RU"/>
        </w:rPr>
        <w:t>0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 — объемная насыпная масса реагента, т/м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vertAlign w:val="superscript"/>
          <w:lang w:eastAsia="ru-RU"/>
        </w:rPr>
        <w:t>3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; h-допустимая высота скла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дирования ~ 1,5-2,5 м.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Расходные баки находятся в отапливаемом помещении, отделяемом от склада капи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тальной перегородкой. Над этим помещением находятся обычно помещения для приго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товления или хранения других реагентов. Из растворных баков раствор коагулянта кон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центрацией 10-15% перепускается в расходные баки, где разбавляется до рабочей кон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 xml:space="preserve">центрации (4-10%). Для перемешивания раствора в 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lastRenderedPageBreak/>
        <w:t>нижнюю часть баков через систему труб подается воздух. Из расходных баков раствор коагулянта подается в смеситель на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сосом-дозатором либо кислотостойким насосом через дозатор любого типа. Количество расходных, растворных баков и насосов должно быть: растворных — 3, расходных — 2.</w:t>
      </w:r>
    </w:p>
    <w:p w:rsidR="00B2289C" w:rsidRPr="00B2289C" w:rsidRDefault="00B2289C" w:rsidP="00B2289C">
      <w:pPr>
        <w:spacing w:after="240" w:line="312" w:lineRule="atLeast"/>
        <w:jc w:val="both"/>
        <w:textAlignment w:val="baseline"/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Схема организации 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реагентного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хозяйства при мокром хранении коагулянта в рас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творных баках-хранилищах представлена на рис. 13.2. В этом случае коагулянт доставля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ется автотранспортом и загружается в растворные баки-хранилища, где растворяется и хра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нится в виде 15-20%-</w:t>
      </w:r>
      <w:proofErr w:type="spellStart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ного</w:t>
      </w:r>
      <w:proofErr w:type="spellEnd"/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концентрированного раствора. Емкость баков-хранилищ рассчи</w:t>
      </w:r>
      <w:r w:rsidRPr="00B2289C">
        <w:rPr>
          <w:rFonts w:ascii="Times New Roman" w:eastAsia="Times New Roman" w:hAnsi="Times New Roman" w:cs="Times New Roman"/>
          <w:spacing w:val="-5"/>
          <w:sz w:val="24"/>
          <w:szCs w:val="24"/>
          <w:bdr w:val="none" w:sz="0" w:space="0" w:color="auto" w:frame="1"/>
          <w:shd w:val="clear" w:color="auto" w:fill="FFFFFF"/>
          <w:lang w:eastAsia="ru-RU"/>
        </w:rPr>
        <w:softHyphen/>
        <w:t>тывается на 30-суточный расход реагента. Количество баков должно быть не менее трех.</w:t>
      </w:r>
    </w:p>
    <w:p w:rsidR="005677E5" w:rsidRDefault="005677E5">
      <w:bookmarkStart w:id="0" w:name="_GoBack"/>
      <w:bookmarkEnd w:id="0"/>
    </w:p>
    <w:sectPr w:rsidR="005677E5" w:rsidSect="00B2289C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161C4"/>
    <w:multiLevelType w:val="multilevel"/>
    <w:tmpl w:val="E24E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0A0694"/>
    <w:multiLevelType w:val="multilevel"/>
    <w:tmpl w:val="3034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844395C"/>
    <w:multiLevelType w:val="multilevel"/>
    <w:tmpl w:val="9C723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9374D9"/>
    <w:multiLevelType w:val="multilevel"/>
    <w:tmpl w:val="EC12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4CE"/>
    <w:rsid w:val="003E2324"/>
    <w:rsid w:val="005677E5"/>
    <w:rsid w:val="00B2289C"/>
    <w:rsid w:val="00CD5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228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B228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228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289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2289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228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B2289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2289C"/>
    <w:rPr>
      <w:color w:val="800080"/>
      <w:u w:val="single"/>
    </w:rPr>
  </w:style>
  <w:style w:type="character" w:customStyle="1" w:styleId="elementor-button-content-wrapper">
    <w:name w:val="elementor-button-content-wrapper"/>
    <w:basedOn w:val="a0"/>
    <w:rsid w:val="00B2289C"/>
  </w:style>
  <w:style w:type="character" w:customStyle="1" w:styleId="elementor-button-text">
    <w:name w:val="elementor-button-text"/>
    <w:basedOn w:val="a0"/>
    <w:rsid w:val="00B2289C"/>
  </w:style>
  <w:style w:type="paragraph" w:customStyle="1" w:styleId="elementor-heading-title">
    <w:name w:val="elementor-heading-title"/>
    <w:basedOn w:val="a"/>
    <w:rsid w:val="00B22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grid-item">
    <w:name w:val="elementor-grid-item"/>
    <w:basedOn w:val="a0"/>
    <w:rsid w:val="00B2289C"/>
  </w:style>
  <w:style w:type="character" w:customStyle="1" w:styleId="elementor-screen-only">
    <w:name w:val="elementor-screen-only"/>
    <w:basedOn w:val="a0"/>
    <w:rsid w:val="00B2289C"/>
  </w:style>
  <w:style w:type="character" w:customStyle="1" w:styleId="elementor-icon-list-text">
    <w:name w:val="elementor-icon-list-text"/>
    <w:basedOn w:val="a0"/>
    <w:rsid w:val="00B2289C"/>
  </w:style>
  <w:style w:type="character" w:customStyle="1" w:styleId="elementor-post-infoterms-list">
    <w:name w:val="elementor-post-info__terms-list"/>
    <w:basedOn w:val="a0"/>
    <w:rsid w:val="00B2289C"/>
  </w:style>
  <w:style w:type="character" w:styleId="a5">
    <w:name w:val="Strong"/>
    <w:basedOn w:val="a0"/>
    <w:uiPriority w:val="22"/>
    <w:qFormat/>
    <w:rsid w:val="00B2289C"/>
    <w:rPr>
      <w:b/>
      <w:bCs/>
    </w:rPr>
  </w:style>
  <w:style w:type="paragraph" w:styleId="a6">
    <w:name w:val="Normal (Web)"/>
    <w:basedOn w:val="a"/>
    <w:uiPriority w:val="99"/>
    <w:unhideWhenUsed/>
    <w:rsid w:val="00B22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p-first-text">
    <w:name w:val="pp-first-text"/>
    <w:basedOn w:val="a0"/>
    <w:rsid w:val="00B2289C"/>
  </w:style>
  <w:style w:type="character" w:customStyle="1" w:styleId="pp-second-text">
    <w:name w:val="pp-second-text"/>
    <w:basedOn w:val="a0"/>
    <w:rsid w:val="00B2289C"/>
  </w:style>
  <w:style w:type="character" w:styleId="a7">
    <w:name w:val="Emphasis"/>
    <w:basedOn w:val="a0"/>
    <w:uiPriority w:val="20"/>
    <w:qFormat/>
    <w:rsid w:val="00B2289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228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B228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228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289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2289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228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B2289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2289C"/>
    <w:rPr>
      <w:color w:val="800080"/>
      <w:u w:val="single"/>
    </w:rPr>
  </w:style>
  <w:style w:type="character" w:customStyle="1" w:styleId="elementor-button-content-wrapper">
    <w:name w:val="elementor-button-content-wrapper"/>
    <w:basedOn w:val="a0"/>
    <w:rsid w:val="00B2289C"/>
  </w:style>
  <w:style w:type="character" w:customStyle="1" w:styleId="elementor-button-text">
    <w:name w:val="elementor-button-text"/>
    <w:basedOn w:val="a0"/>
    <w:rsid w:val="00B2289C"/>
  </w:style>
  <w:style w:type="paragraph" w:customStyle="1" w:styleId="elementor-heading-title">
    <w:name w:val="elementor-heading-title"/>
    <w:basedOn w:val="a"/>
    <w:rsid w:val="00B22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grid-item">
    <w:name w:val="elementor-grid-item"/>
    <w:basedOn w:val="a0"/>
    <w:rsid w:val="00B2289C"/>
  </w:style>
  <w:style w:type="character" w:customStyle="1" w:styleId="elementor-screen-only">
    <w:name w:val="elementor-screen-only"/>
    <w:basedOn w:val="a0"/>
    <w:rsid w:val="00B2289C"/>
  </w:style>
  <w:style w:type="character" w:customStyle="1" w:styleId="elementor-icon-list-text">
    <w:name w:val="elementor-icon-list-text"/>
    <w:basedOn w:val="a0"/>
    <w:rsid w:val="00B2289C"/>
  </w:style>
  <w:style w:type="character" w:customStyle="1" w:styleId="elementor-post-infoterms-list">
    <w:name w:val="elementor-post-info__terms-list"/>
    <w:basedOn w:val="a0"/>
    <w:rsid w:val="00B2289C"/>
  </w:style>
  <w:style w:type="character" w:styleId="a5">
    <w:name w:val="Strong"/>
    <w:basedOn w:val="a0"/>
    <w:uiPriority w:val="22"/>
    <w:qFormat/>
    <w:rsid w:val="00B2289C"/>
    <w:rPr>
      <w:b/>
      <w:bCs/>
    </w:rPr>
  </w:style>
  <w:style w:type="paragraph" w:styleId="a6">
    <w:name w:val="Normal (Web)"/>
    <w:basedOn w:val="a"/>
    <w:uiPriority w:val="99"/>
    <w:unhideWhenUsed/>
    <w:rsid w:val="00B22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p-first-text">
    <w:name w:val="pp-first-text"/>
    <w:basedOn w:val="a0"/>
    <w:rsid w:val="00B2289C"/>
  </w:style>
  <w:style w:type="character" w:customStyle="1" w:styleId="pp-second-text">
    <w:name w:val="pp-second-text"/>
    <w:basedOn w:val="a0"/>
    <w:rsid w:val="00B2289C"/>
  </w:style>
  <w:style w:type="character" w:styleId="a7">
    <w:name w:val="Emphasis"/>
    <w:basedOn w:val="a0"/>
    <w:uiPriority w:val="20"/>
    <w:qFormat/>
    <w:rsid w:val="00B2289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29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1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8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68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47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328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5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563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755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0535154">
                          <w:marLeft w:val="426"/>
                          <w:marRight w:val="0"/>
                          <w:marTop w:val="39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77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461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13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3632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084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890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32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9808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82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87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10759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568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186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37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081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708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192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5198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08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621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405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572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337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070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9001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257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82138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7589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56337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1583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1259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2994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9851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3949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3888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0781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34146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18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8797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4142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599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19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655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170712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672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268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971158">
                  <w:marLeft w:val="0"/>
                  <w:marRight w:val="0"/>
                  <w:marTop w:val="960"/>
                  <w:marBottom w:val="9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05692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92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591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1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1826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53697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43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168659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3991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12" w:color="F69B08"/>
                                            <w:left w:val="single" w:sz="48" w:space="12" w:color="F69B08"/>
                                            <w:bottom w:val="single" w:sz="2" w:space="12" w:color="F69B08"/>
                                            <w:right w:val="single" w:sz="2" w:space="0" w:color="F69B08"/>
                                          </w:divBdr>
                                        </w:div>
                                      </w:divsChild>
                                    </w:div>
                                    <w:div w:id="297805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7984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745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45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123057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498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494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1377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891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80303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80884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79389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5065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3545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4744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34409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15156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790218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350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9748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8516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12050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13035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382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97253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375827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10956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16475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15872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18165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5759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44252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40410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7907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8896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51829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7120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4568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02736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3915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63034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8663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3241</Words>
  <Characters>18475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3</cp:revision>
  <dcterms:created xsi:type="dcterms:W3CDTF">2023-11-28T03:51:00Z</dcterms:created>
  <dcterms:modified xsi:type="dcterms:W3CDTF">2023-11-28T04:02:00Z</dcterms:modified>
</cp:coreProperties>
</file>